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DD" w:rsidRDefault="007A2CDD" w:rsidP="007A2CDD">
      <w:pPr>
        <w:adjustRightInd w:val="0"/>
        <w:snapToGrid w:val="0"/>
        <w:spacing w:afterLines="50" w:after="180" w:line="360" w:lineRule="exact"/>
        <w:ind w:rightChars="77" w:right="185"/>
        <w:jc w:val="right"/>
        <w:rPr>
          <w:rFonts w:ascii="微軟正黑體" w:eastAsia="微軟正黑體" w:hAnsi="微軟正黑體"/>
          <w:b/>
          <w:sz w:val="20"/>
          <w:szCs w:val="20"/>
        </w:rPr>
      </w:pPr>
      <w:r w:rsidRPr="00573849">
        <w:rPr>
          <w:rFonts w:ascii="微軟正黑體" w:eastAsia="微軟正黑體" w:hAnsi="微軟正黑體" w:hint="eastAsia"/>
          <w:b/>
          <w:spacing w:val="20"/>
          <w:sz w:val="36"/>
          <w:szCs w:val="36"/>
          <w:u w:val="single"/>
        </w:rPr>
        <w:t>土地仲介實務作業進階課程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F032CF" w:rsidRPr="00F032CF">
        <w:rPr>
          <w:rFonts w:ascii="微軟正黑體" w:eastAsia="微軟正黑體" w:hAnsi="微軟正黑體" w:hint="eastAsia"/>
          <w:b/>
          <w:sz w:val="28"/>
          <w:szCs w:val="28"/>
        </w:rPr>
        <w:t>講師：王英欽</w:t>
      </w:r>
    </w:p>
    <w:p w:rsidR="007A2CDD" w:rsidRDefault="007A2CDD" w:rsidP="007A2CDD">
      <w:pPr>
        <w:snapToGrid w:val="0"/>
        <w:spacing w:before="20" w:line="320" w:lineRule="exact"/>
        <w:ind w:right="-2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一、</w:t>
      </w:r>
      <w:r w:rsidRPr="00667F89">
        <w:rPr>
          <w:rFonts w:ascii="微軟正黑體" w:eastAsia="微軟正黑體" w:hAnsi="微軟正黑體" w:hint="eastAsia"/>
          <w:b/>
        </w:rPr>
        <w:t>課</w:t>
      </w:r>
      <w:r>
        <w:rPr>
          <w:rFonts w:ascii="微軟正黑體" w:eastAsia="微軟正黑體" w:hAnsi="微軟正黑體" w:hint="eastAsia"/>
          <w:b/>
        </w:rPr>
        <w:t>程目標</w:t>
      </w:r>
      <w:r w:rsidRPr="00667F89">
        <w:rPr>
          <w:rFonts w:ascii="微軟正黑體" w:eastAsia="微軟正黑體" w:hAnsi="微軟正黑體" w:hint="eastAsia"/>
          <w:b/>
        </w:rPr>
        <w:t>：</w:t>
      </w:r>
      <w:r>
        <w:rPr>
          <w:rFonts w:ascii="微軟正黑體" w:eastAsia="微軟正黑體" w:hAnsi="微軟正黑體" w:hint="eastAsia"/>
        </w:rPr>
        <w:t>本課程配合</w:t>
      </w:r>
      <w:r w:rsidRPr="00321301">
        <w:rPr>
          <w:rFonts w:ascii="微軟正黑體" w:eastAsia="微軟正黑體" w:hAnsi="微軟正黑體" w:hint="eastAsia"/>
          <w:b/>
        </w:rPr>
        <w:t>資深同仁進階</w:t>
      </w:r>
      <w:r>
        <w:rPr>
          <w:rFonts w:ascii="微軟正黑體" w:eastAsia="微軟正黑體" w:hAnsi="微軟正黑體" w:hint="eastAsia"/>
        </w:rPr>
        <w:t>需求，並</w:t>
      </w:r>
      <w:r w:rsidRPr="00BF0B18">
        <w:rPr>
          <w:rFonts w:ascii="微軟正黑體" w:eastAsia="微軟正黑體" w:hAnsi="微軟正黑體" w:hint="eastAsia"/>
        </w:rPr>
        <w:t>以</w:t>
      </w:r>
      <w:r w:rsidRPr="00321301">
        <w:rPr>
          <w:rFonts w:ascii="微軟正黑體" w:eastAsia="微軟正黑體" w:hAnsi="微軟正黑體" w:hint="eastAsia"/>
          <w:b/>
        </w:rPr>
        <w:t>提高土地仲介績效</w:t>
      </w:r>
      <w:r w:rsidRPr="00BF0B18">
        <w:rPr>
          <w:rFonts w:ascii="微軟正黑體" w:eastAsia="微軟正黑體" w:hAnsi="微軟正黑體" w:hint="eastAsia"/>
        </w:rPr>
        <w:t>為主</w:t>
      </w:r>
      <w:r>
        <w:rPr>
          <w:rFonts w:ascii="微軟正黑體" w:eastAsia="微軟正黑體" w:hAnsi="微軟正黑體" w:hint="eastAsia"/>
        </w:rPr>
        <w:t>要目標。</w:t>
      </w:r>
    </w:p>
    <w:p w:rsidR="007A2CDD" w:rsidRDefault="007A2CDD" w:rsidP="007A2CDD">
      <w:pPr>
        <w:snapToGrid w:val="0"/>
        <w:spacing w:beforeLines="20" w:before="72" w:line="320" w:lineRule="exact"/>
        <w:ind w:leftChars="1" w:left="1699" w:right="-2" w:hangingChars="707" w:hanging="1697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二、</w:t>
      </w:r>
      <w:r w:rsidRPr="00667F89">
        <w:rPr>
          <w:rFonts w:ascii="微軟正黑體" w:eastAsia="微軟正黑體" w:hAnsi="微軟正黑體" w:hint="eastAsia"/>
          <w:b/>
        </w:rPr>
        <w:t>課</w:t>
      </w:r>
      <w:r>
        <w:rPr>
          <w:rFonts w:ascii="微軟正黑體" w:eastAsia="微軟正黑體" w:hAnsi="微軟正黑體" w:hint="eastAsia"/>
          <w:b/>
        </w:rPr>
        <w:t>程主題</w:t>
      </w:r>
      <w:r w:rsidRPr="00667F89">
        <w:rPr>
          <w:rFonts w:ascii="微軟正黑體" w:eastAsia="微軟正黑體" w:hAnsi="微軟正黑體" w:hint="eastAsia"/>
          <w:b/>
        </w:rPr>
        <w:t>：</w:t>
      </w:r>
      <w:r>
        <w:rPr>
          <w:rFonts w:ascii="微軟正黑體" w:eastAsia="微軟正黑體" w:hAnsi="微軟正黑體" w:hint="eastAsia"/>
        </w:rPr>
        <w:t>課程針對①"</w:t>
      </w:r>
      <w:r w:rsidRPr="00321301">
        <w:rPr>
          <w:rFonts w:ascii="微軟正黑體" w:eastAsia="微軟正黑體" w:hAnsi="微軟正黑體" w:hint="eastAsia"/>
          <w:b/>
        </w:rPr>
        <w:t>土地仲介</w:t>
      </w:r>
      <w:r>
        <w:rPr>
          <w:rFonts w:ascii="微軟正黑體" w:eastAsia="微軟正黑體" w:hAnsi="微軟正黑體" w:hint="eastAsia"/>
        </w:rPr>
        <w:t>"</w:t>
      </w:r>
      <w:r w:rsidR="005A682A">
        <w:rPr>
          <w:rFonts w:ascii="微軟正黑體" w:eastAsia="微軟正黑體" w:hAnsi="微軟正黑體" w:hint="eastAsia"/>
        </w:rPr>
        <w:t>詳述，並將土仲業務</w:t>
      </w:r>
      <w:r>
        <w:rPr>
          <w:rFonts w:ascii="微軟正黑體" w:eastAsia="微軟正黑體" w:hAnsi="微軟正黑體" w:hint="eastAsia"/>
        </w:rPr>
        <w:t>涉及的②"</w:t>
      </w:r>
      <w:r w:rsidRPr="00321301">
        <w:rPr>
          <w:rFonts w:ascii="微軟正黑體" w:eastAsia="微軟正黑體" w:hAnsi="微軟正黑體" w:hint="eastAsia"/>
          <w:b/>
        </w:rPr>
        <w:t>土地利用法規</w:t>
      </w:r>
      <w:r>
        <w:rPr>
          <w:rFonts w:ascii="微軟正黑體" w:eastAsia="微軟正黑體" w:hAnsi="微軟正黑體" w:hint="eastAsia"/>
        </w:rPr>
        <w:t>"與③"</w:t>
      </w:r>
      <w:r w:rsidRPr="00321301">
        <w:rPr>
          <w:rFonts w:ascii="微軟正黑體" w:eastAsia="微軟正黑體" w:hAnsi="微軟正黑體" w:hint="eastAsia"/>
          <w:b/>
        </w:rPr>
        <w:t>估價與坪效</w:t>
      </w:r>
      <w:r>
        <w:rPr>
          <w:rFonts w:ascii="微軟正黑體" w:eastAsia="微軟正黑體" w:hAnsi="微軟正黑體" w:hint="eastAsia"/>
        </w:rPr>
        <w:t>"</w:t>
      </w:r>
      <w:r w:rsidR="00F032CF">
        <w:rPr>
          <w:rFonts w:ascii="微軟正黑體" w:eastAsia="微軟正黑體" w:hAnsi="微軟正黑體" w:hint="eastAsia"/>
        </w:rPr>
        <w:t>兩大關鍵，</w:t>
      </w:r>
      <w:r>
        <w:rPr>
          <w:rFonts w:ascii="微軟正黑體" w:eastAsia="微軟正黑體" w:hAnsi="微軟正黑體" w:hint="eastAsia"/>
        </w:rPr>
        <w:t>聚焦在土地仲介的進階課程如下：</w:t>
      </w:r>
    </w:p>
    <w:p w:rsidR="007A2CDD" w:rsidRPr="00321301" w:rsidRDefault="007A2CDD" w:rsidP="007A2CDD">
      <w:pPr>
        <w:pStyle w:val="a3"/>
        <w:numPr>
          <w:ilvl w:val="0"/>
          <w:numId w:val="1"/>
        </w:numPr>
        <w:snapToGrid w:val="0"/>
        <w:spacing w:line="320" w:lineRule="exact"/>
        <w:ind w:leftChars="0" w:left="567" w:right="-2" w:hanging="283"/>
        <w:contextualSpacing/>
        <w:rPr>
          <w:rFonts w:ascii="微軟正黑體" w:eastAsia="微軟正黑體" w:hAnsi="微軟正黑體"/>
          <w:b/>
        </w:rPr>
      </w:pPr>
      <w:r w:rsidRPr="00321301">
        <w:rPr>
          <w:rFonts w:ascii="微軟正黑體" w:eastAsia="微軟正黑體" w:hAnsi="微軟正黑體" w:hint="eastAsia"/>
          <w:b/>
        </w:rPr>
        <w:t xml:space="preserve">土地仲介：如何迎合業主購地需求以提高土地仲介績效 </w:t>
      </w:r>
    </w:p>
    <w:p w:rsidR="007A2CDD" w:rsidRPr="00321301" w:rsidRDefault="007A2CDD" w:rsidP="007A2CDD">
      <w:pPr>
        <w:pStyle w:val="a3"/>
        <w:numPr>
          <w:ilvl w:val="0"/>
          <w:numId w:val="1"/>
        </w:numPr>
        <w:snapToGrid w:val="0"/>
        <w:spacing w:line="320" w:lineRule="exact"/>
        <w:ind w:leftChars="0" w:left="567" w:right="-2" w:hanging="283"/>
        <w:contextualSpacing/>
        <w:rPr>
          <w:rFonts w:ascii="微軟正黑體" w:eastAsia="微軟正黑體" w:hAnsi="微軟正黑體"/>
          <w:b/>
        </w:rPr>
      </w:pPr>
      <w:r w:rsidRPr="00321301">
        <w:rPr>
          <w:rFonts w:ascii="微軟正黑體" w:eastAsia="微軟正黑體" w:hAnsi="微軟正黑體" w:hint="eastAsia"/>
          <w:b/>
        </w:rPr>
        <w:t xml:space="preserve">地用法務：解析影響業主購地意願與出價能力的土地利用法規 </w:t>
      </w:r>
    </w:p>
    <w:p w:rsidR="007A2CDD" w:rsidRPr="00321301" w:rsidRDefault="007A2CDD" w:rsidP="007A2CDD">
      <w:pPr>
        <w:pStyle w:val="a3"/>
        <w:numPr>
          <w:ilvl w:val="0"/>
          <w:numId w:val="1"/>
        </w:numPr>
        <w:snapToGrid w:val="0"/>
        <w:spacing w:line="320" w:lineRule="exact"/>
        <w:ind w:leftChars="0" w:left="567" w:right="-2" w:hanging="283"/>
        <w:contextualSpacing/>
        <w:rPr>
          <w:rFonts w:ascii="微軟正黑體" w:eastAsia="微軟正黑體" w:hAnsi="微軟正黑體"/>
          <w:b/>
        </w:rPr>
      </w:pPr>
      <w:r w:rsidRPr="00321301">
        <w:rPr>
          <w:rFonts w:ascii="微軟正黑體" w:eastAsia="微軟正黑體" w:hAnsi="微軟正黑體" w:hint="eastAsia"/>
          <w:b/>
        </w:rPr>
        <w:t>估價坪效：從業主評估地價</w:t>
      </w:r>
      <w:r w:rsidR="006751CD" w:rsidRPr="00321301">
        <w:rPr>
          <w:rFonts w:ascii="微軟正黑體" w:eastAsia="微軟正黑體" w:hAnsi="微軟正黑體" w:hint="eastAsia"/>
          <w:b/>
        </w:rPr>
        <w:t>模</w:t>
      </w:r>
      <w:r w:rsidRPr="00321301">
        <w:rPr>
          <w:rFonts w:ascii="微軟正黑體" w:eastAsia="微軟正黑體" w:hAnsi="微軟正黑體" w:hint="eastAsia"/>
          <w:b/>
        </w:rPr>
        <w:t>式談如何概估土地坪效</w:t>
      </w:r>
    </w:p>
    <w:p w:rsidR="007A2CDD" w:rsidRPr="007A2CDD" w:rsidRDefault="007A2CDD" w:rsidP="007A2CDD">
      <w:pPr>
        <w:snapToGrid w:val="0"/>
        <w:spacing w:beforeLines="20" w:before="72" w:line="320" w:lineRule="exact"/>
        <w:contextualSpacing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 w:hint="eastAsia"/>
          <w:b/>
        </w:rPr>
        <w:t>三、預定時程</w:t>
      </w:r>
      <w:r w:rsidRPr="00667F89">
        <w:rPr>
          <w:rFonts w:ascii="微軟正黑體" w:eastAsia="微軟正黑體" w:hAnsi="微軟正黑體" w:hint="eastAsia"/>
          <w:b/>
        </w:rPr>
        <w:t>：</w:t>
      </w:r>
      <w:r w:rsidRPr="00F032CF">
        <w:rPr>
          <w:rFonts w:ascii="微軟正黑體" w:eastAsia="微軟正黑體" w:hAnsi="微軟正黑體" w:hint="eastAsia"/>
          <w:b/>
        </w:rPr>
        <w:t>共</w:t>
      </w:r>
      <w:r w:rsidR="00451739" w:rsidRPr="00F032CF">
        <w:rPr>
          <w:rFonts w:ascii="微軟正黑體" w:eastAsia="微軟正黑體" w:hAnsi="微軟正黑體"/>
          <w:b/>
        </w:rPr>
        <w:t>9</w:t>
      </w:r>
      <w:r w:rsidRPr="00F032CF">
        <w:rPr>
          <w:rFonts w:ascii="微軟正黑體" w:eastAsia="微軟正黑體" w:hAnsi="微軟正黑體" w:hint="eastAsia"/>
          <w:b/>
        </w:rPr>
        <w:t>小時</w:t>
      </w:r>
      <w:r w:rsidR="00F032CF" w:rsidRPr="00F032CF">
        <w:rPr>
          <w:rFonts w:ascii="微軟正黑體" w:eastAsia="微軟正黑體" w:hAnsi="微軟正黑體" w:hint="eastAsia"/>
        </w:rPr>
        <w:t>，分</w:t>
      </w:r>
      <w:r w:rsidR="00B746BF">
        <w:rPr>
          <w:rFonts w:ascii="微軟正黑體" w:eastAsia="微軟正黑體" w:hAnsi="微軟正黑體" w:hint="eastAsia"/>
        </w:rPr>
        <w:t>三</w:t>
      </w:r>
      <w:r w:rsidR="00F032CF" w:rsidRPr="00F032CF">
        <w:rPr>
          <w:rFonts w:ascii="微軟正黑體" w:eastAsia="微軟正黑體" w:hAnsi="微軟正黑體" w:hint="eastAsia"/>
        </w:rPr>
        <w:t>天，一天</w:t>
      </w:r>
      <w:r w:rsidR="00B746BF">
        <w:rPr>
          <w:rFonts w:ascii="微軟正黑體" w:eastAsia="微軟正黑體" w:hAnsi="微軟正黑體" w:hint="eastAsia"/>
        </w:rPr>
        <w:t>3</w:t>
      </w:r>
      <w:r w:rsidR="00F032CF" w:rsidRPr="00F032CF">
        <w:rPr>
          <w:rFonts w:ascii="微軟正黑體" w:eastAsia="微軟正黑體" w:hAnsi="微軟正黑體" w:hint="eastAsia"/>
        </w:rPr>
        <w:t>小時</w:t>
      </w:r>
      <w:r w:rsidRPr="00F032CF">
        <w:rPr>
          <w:rFonts w:ascii="微軟正黑體" w:eastAsia="微軟正黑體" w:hAnsi="微軟正黑體" w:hint="eastAsia"/>
        </w:rPr>
        <w:t>。</w:t>
      </w:r>
    </w:p>
    <w:tbl>
      <w:tblPr>
        <w:tblpPr w:leftFromText="180" w:rightFromText="180" w:vertAnchor="text" w:horzAnchor="margin" w:tblpY="452"/>
        <w:tblW w:w="9341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1701"/>
        <w:gridCol w:w="5528"/>
        <w:gridCol w:w="709"/>
      </w:tblGrid>
      <w:tr w:rsidR="00B746BF" w:rsidRPr="007A2CDD" w:rsidTr="00B746BF">
        <w:trPr>
          <w:trHeight w:val="396"/>
        </w:trPr>
        <w:tc>
          <w:tcPr>
            <w:tcW w:w="310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after="72"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7A2CDD">
              <w:rPr>
                <w:rFonts w:ascii="微軟正黑體" w:eastAsia="微軟正黑體" w:hAnsi="微軟正黑體" w:cs="細明體" w:hint="eastAsia"/>
                <w:b/>
                <w:spacing w:val="40"/>
              </w:rPr>
              <w:t>課程主題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b/>
              </w:rPr>
            </w:pPr>
            <w:r w:rsidRPr="007A2CDD">
              <w:rPr>
                <w:rFonts w:ascii="微軟正黑體" w:eastAsia="微軟正黑體" w:hAnsi="微軟正黑體" w:cs="細明體" w:hint="eastAsia"/>
                <w:b/>
                <w:spacing w:val="40"/>
              </w:rPr>
              <w:t>課程大綱與內容摘要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99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微軟正黑體" w:eastAsia="微軟正黑體" w:hAnsi="微軟正黑體" w:cs="細明體" w:hint="eastAsia"/>
                <w:b/>
                <w:spacing w:val="10"/>
              </w:rPr>
            </w:pPr>
            <w:r w:rsidRPr="007A2CDD">
              <w:rPr>
                <w:rFonts w:ascii="微軟正黑體" w:eastAsia="微軟正黑體" w:hAnsi="微軟正黑體" w:cs="細明體" w:hint="eastAsia"/>
                <w:b/>
                <w:spacing w:val="10"/>
              </w:rPr>
              <w:t>時數</w:t>
            </w:r>
          </w:p>
        </w:tc>
      </w:tr>
      <w:tr w:rsidR="00B746BF" w:rsidRPr="007A2CDD" w:rsidTr="00B746BF">
        <w:trPr>
          <w:trHeight w:val="816"/>
        </w:trPr>
        <w:tc>
          <w:tcPr>
            <w:tcW w:w="69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一、土地仲介作業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一)</w:t>
            </w:r>
          </w:p>
          <w:p w:rsidR="00B746BF" w:rsidRPr="007A2CDD" w:rsidRDefault="00B746BF" w:rsidP="00F032CF">
            <w:pPr>
              <w:spacing w:line="0" w:lineRule="atLeast"/>
              <w:ind w:firstLineChars="97" w:firstLine="252"/>
              <w:rPr>
                <w:rFonts w:ascii="新細明體" w:hAnsi="新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業主購地需求篇</w:t>
            </w:r>
          </w:p>
        </w:tc>
        <w:tc>
          <w:tcPr>
            <w:tcW w:w="55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1.如何篩選土地？</w:t>
            </w:r>
          </w:p>
          <w:p w:rsidR="00B746BF" w:rsidRPr="007A2CDD" w:rsidRDefault="00B746BF" w:rsidP="00F032CF">
            <w:pPr>
              <w:numPr>
                <w:ilvl w:val="0"/>
                <w:numId w:val="2"/>
              </w:numPr>
              <w:spacing w:line="260" w:lineRule="exact"/>
              <w:ind w:hanging="21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初步篩選：區位、面積、分區、坵形…etc.</w:t>
            </w:r>
          </w:p>
          <w:p w:rsidR="00B746BF" w:rsidRPr="007A2CDD" w:rsidRDefault="00B746BF" w:rsidP="00F032CF">
            <w:pPr>
              <w:numPr>
                <w:ilvl w:val="0"/>
                <w:numId w:val="2"/>
              </w:numPr>
              <w:spacing w:line="260" w:lineRule="exact"/>
              <w:ind w:hanging="21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後續調查：現地勘查、建築線、地政、法規調查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B746BF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3</w:t>
            </w:r>
          </w:p>
        </w:tc>
      </w:tr>
      <w:tr w:rsidR="00B746BF" w:rsidRPr="007A2CDD" w:rsidTr="00B746BF">
        <w:trPr>
          <w:trHeight w:val="838"/>
        </w:trPr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2.如何決定地價？</w:t>
            </w:r>
          </w:p>
          <w:p w:rsidR="00B746BF" w:rsidRPr="007A2CDD" w:rsidRDefault="00B746BF" w:rsidP="00F032CF">
            <w:pPr>
              <w:numPr>
                <w:ilvl w:val="0"/>
                <w:numId w:val="3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概估：地價=每坪房價中的地價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×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土地坪效</w:t>
            </w:r>
          </w:p>
          <w:p w:rsidR="00B746BF" w:rsidRPr="007A2CDD" w:rsidRDefault="00B746BF" w:rsidP="00F032CF">
            <w:pPr>
              <w:numPr>
                <w:ilvl w:val="0"/>
                <w:numId w:val="3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精算：地價=可承受的總土地款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÷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土地面積</w:t>
            </w:r>
          </w:p>
        </w:tc>
        <w:tc>
          <w:tcPr>
            <w:tcW w:w="709" w:type="dxa"/>
            <w:vMerge/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B746BF" w:rsidRPr="007A2CDD" w:rsidTr="00B746BF">
        <w:trPr>
          <w:trHeight w:val="1192"/>
        </w:trPr>
        <w:tc>
          <w:tcPr>
            <w:tcW w:w="69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二)</w:t>
            </w:r>
          </w:p>
          <w:p w:rsidR="00B746BF" w:rsidRPr="007A2CDD" w:rsidRDefault="00B746BF" w:rsidP="00F032CF">
            <w:pPr>
              <w:spacing w:line="0" w:lineRule="atLeast"/>
              <w:ind w:firstLineChars="97" w:firstLine="252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土地仲介實力篇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3.服務+專業=實力</w:t>
            </w:r>
          </w:p>
          <w:p w:rsidR="00B746BF" w:rsidRPr="007A2CDD" w:rsidRDefault="00B746BF" w:rsidP="00F032CF">
            <w:pPr>
              <w:numPr>
                <w:ilvl w:val="0"/>
                <w:numId w:val="4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仲介標的：交易條件、產權、法規…etc.</w:t>
            </w:r>
          </w:p>
          <w:p w:rsidR="00B746BF" w:rsidRPr="007A2CDD" w:rsidRDefault="00B746BF" w:rsidP="00F032CF">
            <w:pPr>
              <w:numPr>
                <w:ilvl w:val="0"/>
                <w:numId w:val="4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仲介雙方：買方、賣方</w:t>
            </w:r>
          </w:p>
          <w:p w:rsidR="00B746BF" w:rsidRPr="007A2CDD" w:rsidRDefault="00B746BF" w:rsidP="00F032CF">
            <w:pPr>
              <w:numPr>
                <w:ilvl w:val="0"/>
                <w:numId w:val="4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議價階段：人際關係、專業能力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B746BF" w:rsidRPr="007A2CDD" w:rsidTr="00B746BF">
        <w:trPr>
          <w:trHeight w:val="804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hint="eastAsia"/>
                <w:b/>
                <w:sz w:val="26"/>
                <w:szCs w:val="26"/>
              </w:rPr>
              <w:t>二、土地利用法規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(三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)</w:t>
            </w:r>
          </w:p>
          <w:p w:rsidR="00B746BF" w:rsidRDefault="00B746BF" w:rsidP="00F032CF">
            <w:pPr>
              <w:spacing w:line="0" w:lineRule="atLeast"/>
              <w:ind w:leftChars="60" w:left="144" w:firstLine="144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是否可供利用</w:t>
            </w:r>
          </w:p>
          <w:p w:rsidR="00B746BF" w:rsidRPr="007A2CDD" w:rsidRDefault="00B746BF" w:rsidP="00F032CF">
            <w:pPr>
              <w:spacing w:line="0" w:lineRule="atLeast"/>
              <w:ind w:leftChars="60" w:left="144" w:firstLine="144"/>
              <w:rPr>
                <w:rFonts w:ascii="新細明體" w:hAnsi="新細明體"/>
                <w:b/>
                <w:sz w:val="22"/>
              </w:rPr>
            </w:pPr>
            <w:r w:rsidRPr="00241272">
              <w:rPr>
                <w:rFonts w:asciiTheme="minorHAnsi" w:hAnsiTheme="minorHAnsi" w:cs="細明體"/>
                <w:b/>
                <w:sz w:val="26"/>
                <w:szCs w:val="26"/>
              </w:rPr>
              <w:t>→</w:t>
            </w:r>
            <w:r>
              <w:rPr>
                <w:rFonts w:ascii="新細明體" w:hAnsi="新細明體" w:cs="細明體" w:hint="eastAsia"/>
                <w:b/>
                <w:sz w:val="26"/>
                <w:szCs w:val="26"/>
              </w:rPr>
              <w:t>符合業主需求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4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.開發管制：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禁</w:t>
            </w:r>
            <w:r>
              <w:rPr>
                <w:rFonts w:ascii="新細明體" w:hAnsi="新細明體" w:hint="eastAsia"/>
                <w:sz w:val="22"/>
              </w:rPr>
              <w:t>建</w:t>
            </w:r>
            <w:r w:rsidRPr="007A2CDD">
              <w:rPr>
                <w:rFonts w:ascii="新細明體" w:hAnsi="新細明體" w:hint="eastAsia"/>
                <w:sz w:val="22"/>
              </w:rPr>
              <w:t>、限建…等開發</w:t>
            </w:r>
            <w:r>
              <w:rPr>
                <w:rFonts w:ascii="新細明體" w:hAnsi="新細明體" w:hint="eastAsia"/>
                <w:sz w:val="22"/>
              </w:rPr>
              <w:t>許可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5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捐地、</w:t>
            </w:r>
            <w:r w:rsidRPr="00570443">
              <w:rPr>
                <w:rFonts w:ascii="新細明體" w:hAnsi="新細明體" w:hint="eastAsia"/>
                <w:sz w:val="22"/>
              </w:rPr>
              <w:t>捐款、整體開發</w:t>
            </w:r>
            <w:r>
              <w:rPr>
                <w:rFonts w:ascii="新細明體" w:hAnsi="新細明體" w:hint="eastAsia"/>
                <w:sz w:val="22"/>
              </w:rPr>
              <w:t>、整體規劃</w:t>
            </w:r>
            <w:r w:rsidRPr="00570443">
              <w:rPr>
                <w:rFonts w:ascii="新細明體" w:hAnsi="新細明體" w:hint="eastAsia"/>
                <w:sz w:val="22"/>
              </w:rPr>
              <w:t>…等附帶條</w:t>
            </w:r>
            <w:r>
              <w:rPr>
                <w:rFonts w:ascii="新細明體" w:hAnsi="新細明體" w:hint="eastAsia"/>
                <w:sz w:val="22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</w:tr>
      <w:tr w:rsidR="00B746BF" w:rsidRPr="007A2CDD" w:rsidTr="00B746BF">
        <w:trPr>
          <w:trHeight w:val="858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746BF" w:rsidRPr="007A2CDD" w:rsidRDefault="00B746BF" w:rsidP="00F032CF">
            <w:pPr>
              <w:spacing w:line="0" w:lineRule="atLeast"/>
              <w:ind w:rightChars="32" w:right="77"/>
              <w:rPr>
                <w:rFonts w:ascii="新細明體" w:hAnsi="新細明體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5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.使用限制：</w:t>
            </w:r>
          </w:p>
          <w:p w:rsidR="00B746BF" w:rsidRPr="007A2CDD" w:rsidRDefault="00B746BF" w:rsidP="00F032CF">
            <w:pPr>
              <w:numPr>
                <w:ilvl w:val="0"/>
                <w:numId w:val="5"/>
              </w:numPr>
              <w:spacing w:line="260" w:lineRule="exact"/>
              <w:ind w:hanging="262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現地、產權</w:t>
            </w:r>
            <w:r>
              <w:rPr>
                <w:rFonts w:ascii="新細明體" w:hAnsi="新細明體" w:hint="eastAsia"/>
                <w:sz w:val="22"/>
                <w:szCs w:val="22"/>
              </w:rPr>
              <w:t>因素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、開發規模</w:t>
            </w:r>
            <w:r>
              <w:rPr>
                <w:rFonts w:ascii="新細明體" w:hAnsi="新細明體" w:hint="eastAsia"/>
                <w:sz w:val="22"/>
                <w:szCs w:val="22"/>
              </w:rPr>
              <w:t>、建築線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…等</w:t>
            </w:r>
            <w:r>
              <w:rPr>
                <w:rFonts w:ascii="新細明體" w:hAnsi="新細明體" w:hint="eastAsia"/>
                <w:sz w:val="22"/>
                <w:szCs w:val="22"/>
              </w:rPr>
              <w:t>使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用限制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住、商、專用區vs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公設</w:t>
            </w:r>
            <w:r>
              <w:rPr>
                <w:rFonts w:ascii="新細明體" w:hAnsi="新細明體" w:hint="eastAsia"/>
                <w:sz w:val="22"/>
                <w:szCs w:val="22"/>
              </w:rPr>
              <w:t>用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地</w:t>
            </w:r>
            <w:r>
              <w:rPr>
                <w:rFonts w:ascii="新細明體" w:hAnsi="新細明體" w:hint="eastAsia"/>
                <w:sz w:val="22"/>
                <w:szCs w:val="22"/>
              </w:rPr>
              <w:t>…等使用分區</w:t>
            </w:r>
          </w:p>
        </w:tc>
        <w:tc>
          <w:tcPr>
            <w:tcW w:w="709" w:type="dxa"/>
            <w:vMerge/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B746BF" w:rsidRPr="007A2CDD" w:rsidTr="00B746BF">
        <w:trPr>
          <w:trHeight w:val="803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(四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)</w:t>
            </w:r>
          </w:p>
          <w:p w:rsidR="00B746BF" w:rsidRDefault="00B746BF" w:rsidP="00F032CF">
            <w:pPr>
              <w:spacing w:line="0" w:lineRule="atLeast"/>
              <w:ind w:firstLineChars="97" w:firstLine="252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如何最佳利用</w:t>
            </w:r>
          </w:p>
          <w:p w:rsidR="00B746BF" w:rsidRPr="007A2CDD" w:rsidRDefault="00B746BF" w:rsidP="00F032CF">
            <w:pPr>
              <w:spacing w:line="0" w:lineRule="atLeast"/>
              <w:ind w:firstLineChars="110" w:firstLine="286"/>
              <w:rPr>
                <w:rFonts w:ascii="新細明體" w:hAnsi="新細明體"/>
                <w:b/>
                <w:sz w:val="22"/>
              </w:rPr>
            </w:pPr>
            <w:r w:rsidRPr="00241272">
              <w:rPr>
                <w:rFonts w:asciiTheme="minorHAnsi" w:hAnsiTheme="minorHAnsi" w:cs="細明體"/>
                <w:b/>
                <w:sz w:val="26"/>
                <w:szCs w:val="26"/>
              </w:rPr>
              <w:t>→</w:t>
            </w:r>
            <w:r>
              <w:rPr>
                <w:rFonts w:ascii="新細明體" w:hAnsi="新細明體" w:cs="細明體" w:hint="eastAsia"/>
                <w:b/>
                <w:sz w:val="26"/>
                <w:szCs w:val="26"/>
              </w:rPr>
              <w:t>購地推案競爭力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6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.用途管制：</w:t>
            </w:r>
          </w:p>
          <w:p w:rsidR="00B746BF" w:rsidRPr="007A2CDD" w:rsidRDefault="00B746BF" w:rsidP="00F032CF">
            <w:pPr>
              <w:numPr>
                <w:ilvl w:val="0"/>
                <w:numId w:val="7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法規正面、負面與附條件規定</w:t>
            </w:r>
          </w:p>
          <w:p w:rsidR="00B746BF" w:rsidRPr="007A2CDD" w:rsidRDefault="00B746BF" w:rsidP="00F032CF">
            <w:pPr>
              <w:numPr>
                <w:ilvl w:val="0"/>
                <w:numId w:val="7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建築用途vs產品定位</w:t>
            </w:r>
          </w:p>
        </w:tc>
        <w:tc>
          <w:tcPr>
            <w:tcW w:w="709" w:type="dxa"/>
            <w:vMerge/>
            <w:vAlign w:val="center"/>
          </w:tcPr>
          <w:p w:rsidR="00B746BF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</w:p>
        </w:tc>
      </w:tr>
      <w:tr w:rsidR="00B746BF" w:rsidRPr="007A2CDD" w:rsidTr="00B746BF">
        <w:trPr>
          <w:trHeight w:val="845"/>
        </w:trPr>
        <w:tc>
          <w:tcPr>
            <w:tcW w:w="69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7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.強度管制：</w:t>
            </w:r>
          </w:p>
          <w:p w:rsidR="00B746BF" w:rsidRPr="007A2CDD" w:rsidRDefault="00B746BF" w:rsidP="00F032CF">
            <w:pPr>
              <w:numPr>
                <w:ilvl w:val="0"/>
                <w:numId w:val="8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最大可建面積=基準+免計+獎勵+容移FA</w:t>
            </w:r>
          </w:p>
          <w:p w:rsidR="00B746BF" w:rsidRPr="007A2CDD" w:rsidRDefault="00B746BF" w:rsidP="00F032CF">
            <w:pPr>
              <w:numPr>
                <w:ilvl w:val="0"/>
                <w:numId w:val="8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可建強度=最大可建面積÷基地面積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B746BF" w:rsidRPr="007A2CDD" w:rsidTr="00B746BF">
        <w:trPr>
          <w:trHeight w:val="821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三、估價與</w:t>
            </w:r>
          </w:p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坪效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(五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)</w:t>
            </w:r>
          </w:p>
          <w:p w:rsidR="00B746BF" w:rsidRDefault="00B746BF" w:rsidP="00F032CF">
            <w:pPr>
              <w:spacing w:line="0" w:lineRule="atLeast"/>
              <w:ind w:firstLineChars="97" w:firstLine="252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房價vs地價</w:t>
            </w:r>
          </w:p>
          <w:p w:rsidR="00B746BF" w:rsidRPr="005A682A" w:rsidRDefault="00B746BF" w:rsidP="00F032CF">
            <w:pPr>
              <w:spacing w:line="0" w:lineRule="atLeast"/>
              <w:ind w:firstLineChars="97" w:firstLine="252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241272">
              <w:rPr>
                <w:rFonts w:asciiTheme="minorHAnsi" w:hAnsiTheme="minorHAnsi" w:cs="細明體"/>
                <w:b/>
                <w:sz w:val="26"/>
                <w:szCs w:val="26"/>
              </w:rPr>
              <w:t>→</w:t>
            </w:r>
            <w:r>
              <w:rPr>
                <w:rFonts w:ascii="新細明體" w:hAnsi="新細明體" w:cs="細明體" w:hint="eastAsia"/>
                <w:b/>
                <w:sz w:val="26"/>
                <w:szCs w:val="26"/>
              </w:rPr>
              <w:t>業主估價模式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8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.房價：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房價=土地成本+營建成本+其他成本+毛利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  <w:szCs w:val="22"/>
              </w:rPr>
              <w:t>毛利：相對於總可售、總成本、投資成本毛利率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746BF" w:rsidRPr="007A2CDD" w:rsidRDefault="00B746BF" w:rsidP="00B746B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</w:tr>
      <w:tr w:rsidR="00B746BF" w:rsidRPr="007A2CDD" w:rsidTr="00B746BF">
        <w:trPr>
          <w:trHeight w:val="82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 xml:space="preserve"> 9.地價：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地價=土地對房價貢獻度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×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坪效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貢獻度：城鄉、區位、分區、利用法規…etc.</w:t>
            </w:r>
          </w:p>
        </w:tc>
        <w:tc>
          <w:tcPr>
            <w:tcW w:w="709" w:type="dxa"/>
            <w:vMerge/>
          </w:tcPr>
          <w:p w:rsidR="00B746BF" w:rsidRPr="007A2CDD" w:rsidRDefault="00B746BF" w:rsidP="00F032CF">
            <w:pPr>
              <w:spacing w:line="26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746BF" w:rsidRPr="007A2CDD" w:rsidTr="00B746BF">
        <w:trPr>
          <w:trHeight w:val="850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</w:rPr>
              <w:t xml:space="preserve"> (六</w:t>
            </w: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>)</w:t>
            </w:r>
          </w:p>
          <w:p w:rsidR="00B746BF" w:rsidRDefault="00B746BF" w:rsidP="00F032CF">
            <w:pPr>
              <w:spacing w:line="0" w:lineRule="atLeast"/>
              <w:rPr>
                <w:rFonts w:ascii="新細明體" w:hAnsi="新細明體" w:cs="細明體"/>
                <w:b/>
                <w:sz w:val="26"/>
                <w:szCs w:val="26"/>
              </w:rPr>
            </w:pPr>
            <w:r w:rsidRPr="007A2CDD">
              <w:rPr>
                <w:rFonts w:ascii="新細明體" w:hAnsi="新細明體" w:cs="細明體" w:hint="eastAsia"/>
                <w:b/>
                <w:sz w:val="26"/>
                <w:szCs w:val="26"/>
              </w:rPr>
              <w:t xml:space="preserve">  建坪vs售坪</w:t>
            </w:r>
          </w:p>
          <w:p w:rsidR="00B746BF" w:rsidRPr="007A2CDD" w:rsidRDefault="00B746BF" w:rsidP="00F032CF">
            <w:pPr>
              <w:spacing w:line="0" w:lineRule="atLeast"/>
              <w:ind w:firstLineChars="110" w:firstLine="286"/>
              <w:rPr>
                <w:rFonts w:ascii="新細明體" w:hAnsi="新細明體"/>
                <w:b/>
                <w:sz w:val="22"/>
              </w:rPr>
            </w:pPr>
            <w:r w:rsidRPr="00241272">
              <w:rPr>
                <w:rFonts w:asciiTheme="minorHAnsi" w:hAnsiTheme="minorHAnsi" w:cs="細明體"/>
                <w:b/>
                <w:sz w:val="26"/>
                <w:szCs w:val="26"/>
              </w:rPr>
              <w:t>→</w:t>
            </w:r>
            <w:r>
              <w:rPr>
                <w:rFonts w:ascii="新細明體" w:hAnsi="新細明體" w:cs="細明體" w:hint="eastAsia"/>
                <w:b/>
                <w:sz w:val="26"/>
                <w:szCs w:val="26"/>
              </w:rPr>
              <w:t>概估土地坪效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ind w:firstLineChars="46" w:firstLine="101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10.建坪：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影響建坪因素：適用法規、土地條件、實設規劃</w:t>
            </w:r>
          </w:p>
          <w:p w:rsidR="00B746BF" w:rsidRPr="007A2CDD" w:rsidRDefault="00B746BF" w:rsidP="00F032CF">
            <w:pPr>
              <w:numPr>
                <w:ilvl w:val="0"/>
                <w:numId w:val="7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建坪=主體建築FA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×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A2CDD">
              <w:rPr>
                <w:rFonts w:ascii="新細明體" w:hAnsi="新細明體"/>
                <w:sz w:val="22"/>
                <w:szCs w:val="22"/>
              </w:rPr>
              <w:t>1+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陽台%)</w:t>
            </w:r>
            <w:r w:rsidRPr="007A2CDD">
              <w:rPr>
                <w:rFonts w:ascii="新細明體" w:hAnsi="新細明體" w:hint="eastAsia"/>
                <w:sz w:val="20"/>
                <w:szCs w:val="20"/>
              </w:rPr>
              <w:t>+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屋突FA+地下室FA</w:t>
            </w:r>
          </w:p>
        </w:tc>
        <w:tc>
          <w:tcPr>
            <w:tcW w:w="709" w:type="dxa"/>
            <w:vMerge/>
          </w:tcPr>
          <w:p w:rsidR="00B746BF" w:rsidRPr="007A2CDD" w:rsidRDefault="00B746BF" w:rsidP="00F032CF">
            <w:pPr>
              <w:spacing w:line="26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B746BF" w:rsidRPr="007A2CDD" w:rsidTr="00B746BF">
        <w:trPr>
          <w:trHeight w:val="835"/>
        </w:trPr>
        <w:tc>
          <w:tcPr>
            <w:tcW w:w="69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F032CF">
            <w:pPr>
              <w:spacing w:line="0" w:lineRule="atLeast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:rsidR="00B746BF" w:rsidRPr="007A2CDD" w:rsidRDefault="00B746BF" w:rsidP="00F032CF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46BF" w:rsidRPr="007A2CDD" w:rsidRDefault="00B746BF" w:rsidP="00F032CF">
            <w:pPr>
              <w:spacing w:line="260" w:lineRule="exact"/>
              <w:ind w:firstLineChars="46" w:firstLine="101"/>
              <w:jc w:val="both"/>
              <w:rPr>
                <w:rFonts w:ascii="新細明體" w:hAnsi="新細明體"/>
                <w:b/>
                <w:sz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 w:rsidRPr="007A2CDD">
              <w:rPr>
                <w:rFonts w:ascii="新細明體" w:hAnsi="新細明體"/>
                <w:b/>
                <w:sz w:val="22"/>
                <w:szCs w:val="22"/>
              </w:rPr>
              <w:t>1</w:t>
            </w:r>
            <w:r w:rsidRPr="007A2CDD">
              <w:rPr>
                <w:rFonts w:ascii="新細明體" w:hAnsi="新細明體" w:hint="eastAsia"/>
                <w:b/>
                <w:sz w:val="22"/>
                <w:szCs w:val="22"/>
              </w:rPr>
              <w:t>.售坪：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土地坪效=容積率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×</w:t>
            </w:r>
            <w:r w:rsidRPr="007A2CDD">
              <w:rPr>
                <w:rFonts w:ascii="新細明體" w:hAnsi="新細明體" w:hint="eastAsia"/>
                <w:sz w:val="22"/>
                <w:szCs w:val="22"/>
              </w:rPr>
              <w:t>倍數+係數</w:t>
            </w:r>
          </w:p>
          <w:p w:rsidR="00B746BF" w:rsidRPr="007A2CDD" w:rsidRDefault="00B746BF" w:rsidP="00F032CF">
            <w:pPr>
              <w:numPr>
                <w:ilvl w:val="0"/>
                <w:numId w:val="6"/>
              </w:numPr>
              <w:spacing w:line="260" w:lineRule="exact"/>
              <w:ind w:hanging="262"/>
              <w:jc w:val="both"/>
              <w:rPr>
                <w:rFonts w:ascii="新細明體" w:hAnsi="新細明體"/>
                <w:sz w:val="22"/>
              </w:rPr>
            </w:pPr>
            <w:r w:rsidRPr="007A2CDD">
              <w:rPr>
                <w:rFonts w:ascii="新細明體" w:hAnsi="新細明體" w:hint="eastAsia"/>
                <w:sz w:val="22"/>
              </w:rPr>
              <w:t>售坪=基地面積</w:t>
            </w:r>
            <w:r w:rsidRPr="007A2CDD">
              <w:rPr>
                <w:rFonts w:ascii="微軟正黑體" w:eastAsia="微軟正黑體" w:hAnsi="微軟正黑體" w:hint="eastAsia"/>
                <w:sz w:val="20"/>
                <w:szCs w:val="20"/>
              </w:rPr>
              <w:t>×</w:t>
            </w:r>
            <w:r w:rsidRPr="007A2CDD">
              <w:rPr>
                <w:rFonts w:ascii="新細明體" w:hAnsi="新細明體" w:hint="eastAsia"/>
                <w:sz w:val="22"/>
              </w:rPr>
              <w:t>坪效-地下室停車位FA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B746BF" w:rsidRPr="007A2CDD" w:rsidRDefault="00B746BF" w:rsidP="00F032CF">
            <w:pPr>
              <w:spacing w:line="260" w:lineRule="exact"/>
              <w:jc w:val="center"/>
              <w:rPr>
                <w:rFonts w:ascii="新細明體" w:hAnsi="新細明體"/>
                <w:b/>
                <w:sz w:val="22"/>
              </w:rPr>
            </w:pPr>
          </w:p>
        </w:tc>
      </w:tr>
      <w:tr w:rsidR="00B746BF" w:rsidRPr="007A2CDD" w:rsidTr="00B746BF">
        <w:trPr>
          <w:trHeight w:val="863"/>
        </w:trPr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746BF" w:rsidRPr="007A2CDD" w:rsidRDefault="00B746BF" w:rsidP="00B746BF">
            <w:pPr>
              <w:spacing w:line="260" w:lineRule="exact"/>
              <w:ind w:firstLineChars="64" w:firstLine="141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7A2CDD">
              <w:rPr>
                <w:rFonts w:ascii="新細明體" w:hAnsi="新細明體" w:hint="eastAsia"/>
                <w:b/>
                <w:sz w:val="22"/>
              </w:rPr>
              <w:t>說明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746BF" w:rsidRPr="00B746BF" w:rsidRDefault="00B746BF" w:rsidP="00B746BF">
            <w:pPr>
              <w:pStyle w:val="a3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B746BF">
              <w:rPr>
                <w:rFonts w:ascii="新細明體" w:hAnsi="新細明體" w:hint="eastAsia"/>
                <w:sz w:val="22"/>
                <w:szCs w:val="22"/>
              </w:rPr>
              <w:t>建議上課時自備平板或筆電，得上網實作抓資料，以善用網路資源，提升作業能力。</w:t>
            </w:r>
          </w:p>
          <w:p w:rsidR="00B746BF" w:rsidRPr="00B746BF" w:rsidRDefault="00B746BF" w:rsidP="00B746BF">
            <w:pPr>
              <w:pStyle w:val="a3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.</w:t>
            </w:r>
            <w:r>
              <w:rPr>
                <w:rFonts w:ascii="新細明體" w:hAnsi="新細明體" w:hint="eastAsia"/>
                <w:sz w:val="22"/>
                <w:szCs w:val="22"/>
              </w:rPr>
              <w:t>本講座三單元講義主文各別彙整為word檔，可於課後提供pdf檔供參考。</w:t>
            </w:r>
          </w:p>
        </w:tc>
      </w:tr>
    </w:tbl>
    <w:p w:rsidR="00FF6945" w:rsidRPr="007A2CDD" w:rsidRDefault="007A2CDD" w:rsidP="007A2CDD">
      <w:pPr>
        <w:spacing w:line="300" w:lineRule="exact"/>
        <w:ind w:rightChars="117" w:right="281"/>
      </w:pPr>
      <w:r w:rsidRPr="002539BF">
        <w:rPr>
          <w:rFonts w:ascii="微軟正黑體" w:eastAsia="微軟正黑體" w:hAnsi="微軟正黑體" w:hint="eastAsia"/>
          <w:b/>
        </w:rPr>
        <w:t>四</w:t>
      </w:r>
      <w:r>
        <w:rPr>
          <w:rFonts w:ascii="微軟正黑體" w:eastAsia="微軟正黑體" w:hAnsi="微軟正黑體" w:hint="eastAsia"/>
          <w:b/>
        </w:rPr>
        <w:t>、課程摘要表：</w:t>
      </w:r>
      <w:r>
        <w:rPr>
          <w:rFonts w:ascii="微軟正黑體" w:eastAsia="微軟正黑體" w:hAnsi="微軟正黑體" w:hint="eastAsia"/>
        </w:rPr>
        <w:t>課程主題、大綱、內容摘要與時數列表如下：</w:t>
      </w:r>
      <w:bookmarkStart w:id="0" w:name="_GoBack"/>
      <w:bookmarkEnd w:id="0"/>
    </w:p>
    <w:sectPr w:rsidR="00FF6945" w:rsidRPr="007A2CDD" w:rsidSect="00FF3538">
      <w:pgSz w:w="11906" w:h="16838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28" w:rsidRDefault="00172228" w:rsidP="003F193C">
      <w:r>
        <w:separator/>
      </w:r>
    </w:p>
  </w:endnote>
  <w:endnote w:type="continuationSeparator" w:id="0">
    <w:p w:rsidR="00172228" w:rsidRDefault="00172228" w:rsidP="003F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28" w:rsidRDefault="00172228" w:rsidP="003F193C">
      <w:r>
        <w:separator/>
      </w:r>
    </w:p>
  </w:footnote>
  <w:footnote w:type="continuationSeparator" w:id="0">
    <w:p w:rsidR="00172228" w:rsidRDefault="00172228" w:rsidP="003F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109"/>
    <w:multiLevelType w:val="hybridMultilevel"/>
    <w:tmpl w:val="C5D63D24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2C6F95"/>
    <w:multiLevelType w:val="hybridMultilevel"/>
    <w:tmpl w:val="CBBEA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444F6"/>
    <w:multiLevelType w:val="hybridMultilevel"/>
    <w:tmpl w:val="896ED82A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8D2795"/>
    <w:multiLevelType w:val="hybridMultilevel"/>
    <w:tmpl w:val="842031A4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FF3C18"/>
    <w:multiLevelType w:val="hybridMultilevel"/>
    <w:tmpl w:val="68D8BB3A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317874"/>
    <w:multiLevelType w:val="hybridMultilevel"/>
    <w:tmpl w:val="7E308640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F50AC8"/>
    <w:multiLevelType w:val="hybridMultilevel"/>
    <w:tmpl w:val="768E9AAA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A068CD"/>
    <w:multiLevelType w:val="hybridMultilevel"/>
    <w:tmpl w:val="BDAE5826"/>
    <w:lvl w:ilvl="0" w:tplc="B53AE89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EE7896"/>
    <w:multiLevelType w:val="hybridMultilevel"/>
    <w:tmpl w:val="7916BEB4"/>
    <w:lvl w:ilvl="0" w:tplc="30BE49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DD"/>
    <w:rsid w:val="000030CF"/>
    <w:rsid w:val="00172228"/>
    <w:rsid w:val="0018749D"/>
    <w:rsid w:val="001B6A1B"/>
    <w:rsid w:val="00202165"/>
    <w:rsid w:val="00241272"/>
    <w:rsid w:val="00321301"/>
    <w:rsid w:val="003F193C"/>
    <w:rsid w:val="004503BC"/>
    <w:rsid w:val="00451739"/>
    <w:rsid w:val="00570443"/>
    <w:rsid w:val="00573849"/>
    <w:rsid w:val="005A682A"/>
    <w:rsid w:val="006751CD"/>
    <w:rsid w:val="006A2FFF"/>
    <w:rsid w:val="007A2CDD"/>
    <w:rsid w:val="008A6228"/>
    <w:rsid w:val="009261AC"/>
    <w:rsid w:val="009503CA"/>
    <w:rsid w:val="00AC77FB"/>
    <w:rsid w:val="00B746BF"/>
    <w:rsid w:val="00B94876"/>
    <w:rsid w:val="00C2199C"/>
    <w:rsid w:val="00D418C2"/>
    <w:rsid w:val="00E268E5"/>
    <w:rsid w:val="00F032CF"/>
    <w:rsid w:val="00F1443F"/>
    <w:rsid w:val="00FF353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80F254-F53A-406E-ACB3-E60F84A3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9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B229-8B46-404F-80D5-913350AB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王英欽</dc:creator>
  <cp:keywords/>
  <dc:description/>
  <cp:lastModifiedBy>Windows 使用者</cp:lastModifiedBy>
  <cp:revision>3</cp:revision>
  <cp:lastPrinted>2017-08-14T08:00:00Z</cp:lastPrinted>
  <dcterms:created xsi:type="dcterms:W3CDTF">2018-09-27T02:44:00Z</dcterms:created>
  <dcterms:modified xsi:type="dcterms:W3CDTF">2018-10-09T07:56:00Z</dcterms:modified>
</cp:coreProperties>
</file>